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2"/>
        <w:widowControl/>
        <w:spacing w:beforeAutospacing="0" w:afterAutospacing="0"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13C"/>
    <w:rsid w:val="00D4513C"/>
    <w:rsid w:val="00EA2CC3"/>
    <w:rsid w:val="77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252</Characters>
  <Lines>14</Lines>
  <Paragraphs>12</Paragraphs>
  <TotalTime>0</TotalTime>
  <ScaleCrop>false</ScaleCrop>
  <LinksUpToDate>false</LinksUpToDate>
  <CharactersWithSpaces>486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2020-06-15T02:25:00Z</dcterms:created>
  <dc:creator>admin</dc:creator>
  <cp:lastModifiedBy>刘道柱</cp:lastModifiedBy>
  <cp:lastPrinted>2021-10-11T08:46:24Z</cp:lastPrinted>
  <dcterms:modified xsi:type="dcterms:W3CDTF">2021-10-11T09:03:46Z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4B65E99FE2564CD5A45AF0789880CDBD</vt:lpwstr>
  </property>
</Properties>
</file>